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8EB" w:rsidRPr="00E920E4" w:rsidRDefault="007264E8" w:rsidP="00466AAA">
      <w:pPr>
        <w:jc w:val="center"/>
        <w:rPr>
          <w:b/>
        </w:rPr>
      </w:pPr>
      <w:r>
        <w:rPr>
          <w:b/>
        </w:rPr>
        <w:t>BULANIK</w:t>
      </w:r>
      <w:r w:rsidR="00466AAA" w:rsidRPr="00E920E4">
        <w:rPr>
          <w:b/>
        </w:rPr>
        <w:t xml:space="preserve"> BELEDİYE BAŞKANLIĞINDA</w:t>
      </w:r>
    </w:p>
    <w:p w:rsidR="00466AAA" w:rsidRPr="00E920E4" w:rsidRDefault="007264E8" w:rsidP="00466AAA">
      <w:pPr>
        <w:jc w:val="center"/>
        <w:rPr>
          <w:b/>
        </w:rPr>
      </w:pPr>
      <w:r>
        <w:rPr>
          <w:b/>
        </w:rPr>
        <w:t>2025</w:t>
      </w:r>
      <w:r w:rsidR="00466AAA" w:rsidRPr="00E920E4">
        <w:rPr>
          <w:b/>
        </w:rPr>
        <w:t xml:space="preserve"> YILINDA GÖREVDE YÜKSELME VE UNVAN DEĞİŞİKLİĞİ SINAVI AÇILACAK KADROLARA İLİŞKİN</w:t>
      </w:r>
      <w:r w:rsidR="00E920E4" w:rsidRPr="00E920E4">
        <w:rPr>
          <w:b/>
        </w:rPr>
        <w:t xml:space="preserve"> DUYURU</w:t>
      </w:r>
    </w:p>
    <w:p w:rsidR="00E920E4" w:rsidRDefault="00E920E4" w:rsidP="00E920E4"/>
    <w:p w:rsidR="00E920E4" w:rsidRPr="00F00627" w:rsidRDefault="00E920E4" w:rsidP="007264E8">
      <w:pPr>
        <w:ind w:firstLine="709"/>
        <w:rPr>
          <w:rFonts w:cstheme="minorHAnsi"/>
          <w:sz w:val="24"/>
          <w:szCs w:val="24"/>
        </w:rPr>
      </w:pPr>
      <w:r w:rsidRPr="00F00627">
        <w:rPr>
          <w:rFonts w:cstheme="minorHAnsi"/>
          <w:sz w:val="24"/>
          <w:szCs w:val="24"/>
        </w:rPr>
        <w:t xml:space="preserve">Belediye ve Bağlı Kuruluşları ile Mahalli İdareler Personelinin Görevde Yükselme ve Unvan Değişikliği Esaslarına Dair </w:t>
      </w:r>
      <w:r w:rsidR="007264E8" w:rsidRPr="00F00627">
        <w:rPr>
          <w:rFonts w:cstheme="minorHAnsi"/>
          <w:sz w:val="24"/>
          <w:szCs w:val="24"/>
        </w:rPr>
        <w:t>Yönetmelik hükümlerine göre 2025</w:t>
      </w:r>
      <w:r w:rsidRPr="00F00627">
        <w:rPr>
          <w:rFonts w:cstheme="minorHAnsi"/>
          <w:sz w:val="24"/>
          <w:szCs w:val="24"/>
        </w:rPr>
        <w:t xml:space="preserve"> yılında Görevde Yükselme ve Unvan Değişikliği Sınavı yapılacak olup, </w:t>
      </w:r>
      <w:r w:rsidR="00FB3830" w:rsidRPr="00F00627">
        <w:rPr>
          <w:rFonts w:cstheme="minorHAnsi"/>
          <w:sz w:val="24"/>
          <w:szCs w:val="24"/>
        </w:rPr>
        <w:t>şartları taşıyan personelin en geç dilekçe ile 01.02.202</w:t>
      </w:r>
      <w:r w:rsidR="007264E8" w:rsidRPr="00F00627">
        <w:rPr>
          <w:rFonts w:cstheme="minorHAnsi"/>
          <w:sz w:val="24"/>
          <w:szCs w:val="24"/>
        </w:rPr>
        <w:t>5</w:t>
      </w:r>
      <w:r w:rsidR="00FB3830" w:rsidRPr="00F00627">
        <w:rPr>
          <w:rFonts w:cstheme="minorHAnsi"/>
          <w:sz w:val="24"/>
          <w:szCs w:val="24"/>
        </w:rPr>
        <w:t xml:space="preserve">  mesai bitimine kadar </w:t>
      </w:r>
      <w:r w:rsidR="007264E8" w:rsidRPr="00F00627">
        <w:rPr>
          <w:rFonts w:eastAsia="Times New Roman" w:cstheme="minorHAnsi"/>
          <w:color w:val="09262E"/>
          <w:spacing w:val="-8"/>
          <w:sz w:val="24"/>
          <w:szCs w:val="24"/>
          <w:lang w:eastAsia="tr-TR"/>
        </w:rPr>
        <w:t>Mali Hizmetler Müdürlüğü İnsan Kaynakları ve Eğitim Şefliğine</w:t>
      </w:r>
      <w:r w:rsidR="00FB3830" w:rsidRPr="00F00627">
        <w:rPr>
          <w:rFonts w:cstheme="minorHAnsi"/>
          <w:sz w:val="24"/>
          <w:szCs w:val="24"/>
        </w:rPr>
        <w:t xml:space="preserve"> müracaat etmeleri gerekmektedir. S</w:t>
      </w:r>
      <w:r w:rsidRPr="00F00627">
        <w:rPr>
          <w:rFonts w:cstheme="minorHAnsi"/>
          <w:sz w:val="24"/>
          <w:szCs w:val="24"/>
        </w:rPr>
        <w:t>öz konusu sınava ilişkin</w:t>
      </w:r>
      <w:r w:rsidR="00FB3830" w:rsidRPr="00F00627">
        <w:rPr>
          <w:rFonts w:cstheme="minorHAnsi"/>
          <w:sz w:val="24"/>
          <w:szCs w:val="24"/>
        </w:rPr>
        <w:t xml:space="preserve"> </w:t>
      </w:r>
      <w:r w:rsidRPr="00F00627">
        <w:rPr>
          <w:rFonts w:cstheme="minorHAnsi"/>
          <w:sz w:val="24"/>
          <w:szCs w:val="24"/>
        </w:rPr>
        <w:t xml:space="preserve"> ilan edilen kadrolar ve başvuru koşulları aşağıda yer almaktadır.</w:t>
      </w:r>
    </w:p>
    <w:p w:rsidR="00E920E4" w:rsidRDefault="00E920E4" w:rsidP="00E920E4">
      <w:pPr>
        <w:rPr>
          <w:b/>
        </w:rPr>
      </w:pPr>
      <w:r w:rsidRPr="00E920E4">
        <w:rPr>
          <w:b/>
        </w:rPr>
        <w:t>Görevde Yükselme Sınavına başvuracak personele ilişkin genel şartlar:</w:t>
      </w:r>
    </w:p>
    <w:p w:rsidR="00E920E4" w:rsidRPr="00E920E4" w:rsidRDefault="00E920E4" w:rsidP="00E920E4">
      <w:pPr>
        <w:pStyle w:val="ListeParagraf"/>
        <w:numPr>
          <w:ilvl w:val="0"/>
          <w:numId w:val="2"/>
        </w:numPr>
        <w:spacing w:after="0"/>
        <w:ind w:left="284" w:hanging="284"/>
        <w:rPr>
          <w:b/>
        </w:rPr>
      </w:pPr>
      <w:r>
        <w:t>Görevde Yükselme Sınavında başarılı olmak.</w:t>
      </w:r>
    </w:p>
    <w:p w:rsidR="00E920E4" w:rsidRPr="00CF1DD7" w:rsidRDefault="00E920E4" w:rsidP="00E920E4">
      <w:pPr>
        <w:pStyle w:val="ListeParagraf"/>
        <w:numPr>
          <w:ilvl w:val="0"/>
          <w:numId w:val="2"/>
        </w:numPr>
        <w:spacing w:after="0"/>
        <w:ind w:left="284" w:hanging="284"/>
        <w:rPr>
          <w:b/>
        </w:rPr>
      </w:pPr>
      <w:r>
        <w:t xml:space="preserve">Bu yönetmelik kapsamındaki </w:t>
      </w:r>
      <w:r w:rsidR="00CF1DD7">
        <w:t xml:space="preserve">kadrolara atanabilmek için son müracaat tarihi itibariyle </w:t>
      </w:r>
      <w:r w:rsidR="008C415F">
        <w:t>5-6</w:t>
      </w:r>
      <w:r w:rsidR="00CF1DD7">
        <w:t xml:space="preserve"> </w:t>
      </w:r>
      <w:r w:rsidR="00FB3830">
        <w:t xml:space="preserve"> ve </w:t>
      </w:r>
      <w:r w:rsidR="008C415F">
        <w:t>7</w:t>
      </w:r>
      <w:r w:rsidR="00FB3830">
        <w:t xml:space="preserve"> </w:t>
      </w:r>
      <w:r w:rsidR="008C415F">
        <w:t>i</w:t>
      </w:r>
      <w:r w:rsidR="00546092">
        <w:t>nc</w:t>
      </w:r>
      <w:r w:rsidR="008C415F">
        <w:t>i</w:t>
      </w:r>
      <w:r w:rsidR="00546092">
        <w:t xml:space="preserve"> maddelerindeki</w:t>
      </w:r>
      <w:r w:rsidR="00CF1DD7">
        <w:t xml:space="preserve"> </w:t>
      </w:r>
      <w:r w:rsidR="00546092">
        <w:t>şartları taşımak</w:t>
      </w:r>
      <w:r w:rsidR="00CF1DD7">
        <w:t>.</w:t>
      </w:r>
    </w:p>
    <w:p w:rsidR="00CF1DD7" w:rsidRDefault="00CF1DD7" w:rsidP="00CF1DD7">
      <w:pPr>
        <w:spacing w:after="0"/>
        <w:rPr>
          <w:b/>
        </w:rPr>
      </w:pPr>
    </w:p>
    <w:p w:rsidR="00CF1DD7" w:rsidRDefault="00CF1DD7" w:rsidP="00CF1DD7">
      <w:pPr>
        <w:spacing w:after="0"/>
        <w:rPr>
          <w:b/>
        </w:rPr>
      </w:pPr>
    </w:p>
    <w:tbl>
      <w:tblPr>
        <w:tblpPr w:leftFromText="141" w:rightFromText="141"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1559"/>
        <w:gridCol w:w="1140"/>
        <w:gridCol w:w="1134"/>
        <w:gridCol w:w="5519"/>
      </w:tblGrid>
      <w:tr w:rsidR="008C415F" w:rsidTr="008C415F">
        <w:trPr>
          <w:trHeight w:val="854"/>
        </w:trPr>
        <w:tc>
          <w:tcPr>
            <w:tcW w:w="708" w:type="dxa"/>
          </w:tcPr>
          <w:p w:rsidR="008C415F" w:rsidRDefault="008C415F" w:rsidP="00D34A15">
            <w:pPr>
              <w:spacing w:after="0"/>
              <w:rPr>
                <w:b/>
              </w:rPr>
            </w:pPr>
          </w:p>
          <w:p w:rsidR="008C415F" w:rsidRDefault="008C415F" w:rsidP="00D34A15">
            <w:pPr>
              <w:spacing w:after="0"/>
              <w:rPr>
                <w:b/>
              </w:rPr>
            </w:pPr>
            <w:r>
              <w:rPr>
                <w:b/>
              </w:rPr>
              <w:t>SINIFI</w:t>
            </w:r>
          </w:p>
        </w:tc>
        <w:tc>
          <w:tcPr>
            <w:tcW w:w="1559" w:type="dxa"/>
          </w:tcPr>
          <w:p w:rsidR="008C415F" w:rsidRDefault="008C415F" w:rsidP="00D34A15">
            <w:pPr>
              <w:spacing w:after="0"/>
              <w:rPr>
                <w:b/>
              </w:rPr>
            </w:pPr>
          </w:p>
          <w:p w:rsidR="008C415F" w:rsidRDefault="008C415F" w:rsidP="00D34A15">
            <w:pPr>
              <w:spacing w:after="0"/>
              <w:rPr>
                <w:b/>
              </w:rPr>
            </w:pPr>
            <w:r>
              <w:rPr>
                <w:b/>
              </w:rPr>
              <w:t xml:space="preserve">  UNVANI</w:t>
            </w:r>
          </w:p>
        </w:tc>
        <w:tc>
          <w:tcPr>
            <w:tcW w:w="1140" w:type="dxa"/>
          </w:tcPr>
          <w:p w:rsidR="008C415F" w:rsidRDefault="008C415F" w:rsidP="00D34A15">
            <w:pPr>
              <w:spacing w:after="0"/>
              <w:rPr>
                <w:b/>
              </w:rPr>
            </w:pPr>
          </w:p>
          <w:p w:rsidR="008C415F" w:rsidRDefault="008C415F" w:rsidP="00D34A15">
            <w:pPr>
              <w:spacing w:after="0"/>
              <w:rPr>
                <w:b/>
              </w:rPr>
            </w:pPr>
            <w:r>
              <w:rPr>
                <w:b/>
              </w:rPr>
              <w:t xml:space="preserve">  DERECESİ</w:t>
            </w:r>
          </w:p>
        </w:tc>
        <w:tc>
          <w:tcPr>
            <w:tcW w:w="1134" w:type="dxa"/>
          </w:tcPr>
          <w:p w:rsidR="008C415F" w:rsidRDefault="008C415F" w:rsidP="00D34A15">
            <w:pPr>
              <w:spacing w:after="0"/>
              <w:rPr>
                <w:b/>
              </w:rPr>
            </w:pPr>
          </w:p>
          <w:p w:rsidR="008C415F" w:rsidRDefault="008C415F" w:rsidP="00D34A15">
            <w:pPr>
              <w:spacing w:after="0"/>
              <w:jc w:val="center"/>
              <w:rPr>
                <w:b/>
              </w:rPr>
            </w:pPr>
            <w:r>
              <w:rPr>
                <w:b/>
              </w:rPr>
              <w:t>ADEDİ</w:t>
            </w:r>
          </w:p>
        </w:tc>
        <w:tc>
          <w:tcPr>
            <w:tcW w:w="5519" w:type="dxa"/>
          </w:tcPr>
          <w:p w:rsidR="008C415F" w:rsidRDefault="008C415F" w:rsidP="00D34A15">
            <w:pPr>
              <w:spacing w:after="0"/>
              <w:rPr>
                <w:b/>
              </w:rPr>
            </w:pPr>
          </w:p>
          <w:p w:rsidR="008C415F" w:rsidRDefault="008C415F" w:rsidP="00D34A15">
            <w:pPr>
              <w:spacing w:after="0"/>
              <w:jc w:val="center"/>
              <w:rPr>
                <w:b/>
              </w:rPr>
            </w:pPr>
            <w:r>
              <w:rPr>
                <w:b/>
              </w:rPr>
              <w:t>ARANACAK ÖZEL ŞARTLAR</w:t>
            </w:r>
          </w:p>
        </w:tc>
      </w:tr>
      <w:tr w:rsidR="008C415F" w:rsidTr="008C415F">
        <w:trPr>
          <w:trHeight w:val="1435"/>
        </w:trPr>
        <w:tc>
          <w:tcPr>
            <w:tcW w:w="708" w:type="dxa"/>
          </w:tcPr>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p>
          <w:p w:rsidR="008C415F" w:rsidRDefault="008C415F" w:rsidP="00D34A15">
            <w:pPr>
              <w:spacing w:after="0"/>
              <w:jc w:val="center"/>
              <w:rPr>
                <w:b/>
              </w:rPr>
            </w:pPr>
            <w:r>
              <w:rPr>
                <w:b/>
              </w:rPr>
              <w:t>GİH</w:t>
            </w:r>
          </w:p>
        </w:tc>
        <w:tc>
          <w:tcPr>
            <w:tcW w:w="1559" w:type="dxa"/>
          </w:tcPr>
          <w:p w:rsidR="008C415F" w:rsidRDefault="008C415F" w:rsidP="00D34A15">
            <w:pPr>
              <w:spacing w:after="0"/>
              <w:rPr>
                <w:b/>
              </w:rPr>
            </w:pPr>
          </w:p>
          <w:p w:rsidR="008C415F" w:rsidRDefault="008C415F" w:rsidP="00D34A15">
            <w:pPr>
              <w:spacing w:after="0"/>
              <w:rPr>
                <w:b/>
              </w:rPr>
            </w:pPr>
          </w:p>
          <w:p w:rsidR="008C415F" w:rsidRDefault="008C415F" w:rsidP="00D34A15">
            <w:pPr>
              <w:spacing w:after="0"/>
              <w:rPr>
                <w:b/>
              </w:rPr>
            </w:pPr>
          </w:p>
          <w:p w:rsidR="008C415F" w:rsidRDefault="008C415F" w:rsidP="00D34A15">
            <w:pPr>
              <w:spacing w:after="0"/>
            </w:pPr>
          </w:p>
          <w:p w:rsidR="008C415F" w:rsidRDefault="008C415F" w:rsidP="00D34A15">
            <w:pPr>
              <w:spacing w:after="0"/>
            </w:pPr>
          </w:p>
          <w:p w:rsidR="008C415F" w:rsidRDefault="008C415F" w:rsidP="00D34A15">
            <w:pPr>
              <w:spacing w:after="0"/>
            </w:pPr>
          </w:p>
          <w:p w:rsidR="008C415F" w:rsidRDefault="008C415F" w:rsidP="00D34A15">
            <w:pPr>
              <w:spacing w:after="0"/>
            </w:pPr>
          </w:p>
          <w:p w:rsidR="008C415F" w:rsidRDefault="008C415F" w:rsidP="00D34A15">
            <w:pPr>
              <w:spacing w:after="0"/>
            </w:pPr>
          </w:p>
          <w:p w:rsidR="008C415F" w:rsidRDefault="008C415F" w:rsidP="00D34A15">
            <w:pPr>
              <w:spacing w:after="0"/>
            </w:pPr>
          </w:p>
          <w:p w:rsidR="008C415F" w:rsidRDefault="008C415F" w:rsidP="00D34A15">
            <w:pPr>
              <w:spacing w:after="0"/>
            </w:pPr>
          </w:p>
          <w:p w:rsidR="008C415F" w:rsidRDefault="008C415F" w:rsidP="00D34A15">
            <w:pPr>
              <w:spacing w:after="0"/>
              <w:rPr>
                <w:b/>
              </w:rPr>
            </w:pPr>
            <w:r>
              <w:t>Müdür</w:t>
            </w:r>
          </w:p>
          <w:p w:rsidR="008C415F" w:rsidRDefault="008C415F" w:rsidP="00D34A15">
            <w:pPr>
              <w:spacing w:after="0"/>
              <w:jc w:val="center"/>
              <w:rPr>
                <w:b/>
              </w:rPr>
            </w:pPr>
          </w:p>
          <w:p w:rsidR="008C415F" w:rsidRDefault="008C415F" w:rsidP="00D34A15">
            <w:pPr>
              <w:spacing w:after="0"/>
              <w:rPr>
                <w:b/>
              </w:rPr>
            </w:pPr>
          </w:p>
          <w:p w:rsidR="008C415F" w:rsidRDefault="008C415F" w:rsidP="00D34A15">
            <w:pPr>
              <w:spacing w:after="0"/>
              <w:jc w:val="center"/>
              <w:rPr>
                <w:b/>
              </w:rPr>
            </w:pPr>
          </w:p>
        </w:tc>
        <w:tc>
          <w:tcPr>
            <w:tcW w:w="1140" w:type="dxa"/>
          </w:tcPr>
          <w:p w:rsidR="008C415F" w:rsidRDefault="008C415F" w:rsidP="00D34A15">
            <w:pPr>
              <w:spacing w:after="0"/>
              <w:rPr>
                <w:b/>
              </w:rPr>
            </w:pPr>
          </w:p>
          <w:p w:rsidR="008C415F" w:rsidRDefault="008C415F" w:rsidP="00D34A15"/>
          <w:p w:rsidR="008C415F" w:rsidRDefault="008C415F" w:rsidP="00D34A15">
            <w:pPr>
              <w:jc w:val="center"/>
            </w:pPr>
          </w:p>
          <w:p w:rsidR="008C415F" w:rsidRDefault="008C415F" w:rsidP="00D34A15">
            <w:pPr>
              <w:jc w:val="center"/>
            </w:pPr>
          </w:p>
          <w:p w:rsidR="008C415F" w:rsidRDefault="008C415F" w:rsidP="00D34A15">
            <w:pPr>
              <w:jc w:val="center"/>
            </w:pPr>
          </w:p>
          <w:p w:rsidR="008C415F" w:rsidRDefault="008C415F" w:rsidP="00D34A15">
            <w:pPr>
              <w:jc w:val="center"/>
            </w:pPr>
          </w:p>
          <w:p w:rsidR="008C415F" w:rsidRDefault="008C415F" w:rsidP="00D34A15">
            <w:pPr>
              <w:jc w:val="center"/>
            </w:pPr>
          </w:p>
          <w:p w:rsidR="008C415F" w:rsidRPr="00C85100" w:rsidRDefault="008C415F" w:rsidP="00D34A15">
            <w:pPr>
              <w:jc w:val="center"/>
            </w:pPr>
          </w:p>
        </w:tc>
        <w:tc>
          <w:tcPr>
            <w:tcW w:w="1134" w:type="dxa"/>
          </w:tcPr>
          <w:p w:rsidR="008C415F" w:rsidRDefault="008C415F" w:rsidP="00D34A15">
            <w:pPr>
              <w:spacing w:after="0"/>
              <w:ind w:right="427"/>
              <w:jc w:val="center"/>
              <w:rPr>
                <w:b/>
              </w:rPr>
            </w:pPr>
          </w:p>
          <w:p w:rsidR="008C415F" w:rsidRDefault="008C415F" w:rsidP="00D34A15">
            <w:pPr>
              <w:jc w:val="center"/>
            </w:pPr>
          </w:p>
          <w:p w:rsidR="008C415F" w:rsidRDefault="008C415F" w:rsidP="00D34A15">
            <w:pPr>
              <w:jc w:val="center"/>
            </w:pPr>
          </w:p>
          <w:p w:rsidR="008C415F" w:rsidRDefault="008C415F" w:rsidP="00D34A15">
            <w:pPr>
              <w:jc w:val="center"/>
            </w:pPr>
          </w:p>
          <w:p w:rsidR="008C415F" w:rsidRDefault="008C415F" w:rsidP="00D34A15">
            <w:pPr>
              <w:jc w:val="center"/>
            </w:pPr>
          </w:p>
          <w:p w:rsidR="008C415F" w:rsidRDefault="008C415F" w:rsidP="00D34A15">
            <w:pPr>
              <w:jc w:val="center"/>
            </w:pPr>
          </w:p>
          <w:p w:rsidR="008C415F" w:rsidRDefault="008C415F" w:rsidP="00D34A15">
            <w:pPr>
              <w:jc w:val="center"/>
            </w:pPr>
          </w:p>
          <w:p w:rsidR="008C415F" w:rsidRPr="00C85100" w:rsidRDefault="00F00627" w:rsidP="00D34A15">
            <w:pPr>
              <w:jc w:val="center"/>
            </w:pPr>
            <w:r>
              <w:t>2</w:t>
            </w:r>
          </w:p>
        </w:tc>
        <w:tc>
          <w:tcPr>
            <w:tcW w:w="5519" w:type="dxa"/>
          </w:tcPr>
          <w:p w:rsidR="008C415F" w:rsidRDefault="008C415F" w:rsidP="00D34A15">
            <w:pPr>
              <w:spacing w:after="0"/>
              <w:ind w:right="427"/>
              <w:rPr>
                <w:b/>
              </w:rPr>
            </w:pPr>
          </w:p>
          <w:p w:rsidR="008C415F" w:rsidRPr="00917C5E" w:rsidRDefault="008C415F" w:rsidP="00D34A15">
            <w:pPr>
              <w:spacing w:after="0"/>
              <w:ind w:right="427"/>
              <w:rPr>
                <w:rFonts w:cstheme="minorHAnsi"/>
              </w:rPr>
            </w:pPr>
            <w:bookmarkStart w:id="0" w:name="_GoBack"/>
            <w:r w:rsidRPr="00917C5E">
              <w:rPr>
                <w:rFonts w:cstheme="minorHAnsi"/>
              </w:rPr>
              <w:t>1) 657 sayılı Kanun’ un 68 inci maddesinin (B) bendinde belirtilen atanma şartlarını taşımak,</w:t>
            </w:r>
          </w:p>
          <w:p w:rsidR="008C415F" w:rsidRPr="00917C5E" w:rsidRDefault="008C415F" w:rsidP="00D34A15">
            <w:pPr>
              <w:spacing w:after="0"/>
              <w:ind w:right="427"/>
              <w:rPr>
                <w:rFonts w:cstheme="minorHAnsi"/>
              </w:rPr>
            </w:pPr>
            <w:r w:rsidRPr="00917C5E">
              <w:rPr>
                <w:rFonts w:cstheme="minorHAnsi"/>
              </w:rPr>
              <w:t>2) Fakülte veya en az dört yıllık yüksekokul mezunu olmak</w:t>
            </w:r>
          </w:p>
          <w:p w:rsidR="008C415F" w:rsidRPr="00917C5E" w:rsidRDefault="008C415F" w:rsidP="007264E8">
            <w:pPr>
              <w:pStyle w:val="AralkYok"/>
              <w:rPr>
                <w:rFonts w:cstheme="minorHAnsi"/>
              </w:rPr>
            </w:pPr>
            <w:r w:rsidRPr="00917C5E">
              <w:rPr>
                <w:rFonts w:cstheme="minorHAnsi"/>
              </w:rPr>
              <w:t>3) Son müracaat tarihi itibarıyla, koruma ve güvenlik görevlisi amiri, şef, koruma ve güvenlik şefi, bando şefi, hukuk müşaviri, çözümleyici, uzman, sivil savunma uzmanı, ayniyat saymanı, muhasebeci, kontrol memuru ile eğitmen kadrolarında veya en az önlisans düzeyinde öğrenim gerektiren unvan değişikliğine tabi kadrolarda en az iki yıl ya da 5 inci maddenin birinci fıkrasının (d) bendinin (2) numaralı alt bendinde sayılan görevlerde veya ortaöğrenim düzeyinde öğrenim gerektiren unvan değişikliğine tabi kadrolard</w:t>
            </w:r>
            <w:r w:rsidR="00137768" w:rsidRPr="00917C5E">
              <w:rPr>
                <w:rFonts w:cstheme="minorHAnsi"/>
              </w:rPr>
              <w:t>a en az altı yıl çalışmış olmak.</w:t>
            </w:r>
          </w:p>
          <w:bookmarkEnd w:id="0"/>
          <w:p w:rsidR="008C415F" w:rsidRPr="00472851" w:rsidRDefault="008C415F" w:rsidP="00D34A15">
            <w:pPr>
              <w:tabs>
                <w:tab w:val="left" w:pos="1063"/>
              </w:tabs>
              <w:spacing w:after="0"/>
              <w:ind w:right="427"/>
              <w:rPr>
                <w:b/>
              </w:rPr>
            </w:pPr>
          </w:p>
        </w:tc>
      </w:tr>
    </w:tbl>
    <w:p w:rsidR="00C477D9" w:rsidRPr="00CF1DD7" w:rsidRDefault="00993144" w:rsidP="008C415F">
      <w:pPr>
        <w:spacing w:after="0"/>
        <w:rPr>
          <w:b/>
        </w:rPr>
      </w:pPr>
      <w:r>
        <w:rPr>
          <w:b/>
        </w:rPr>
        <w:br w:type="textWrapping" w:clear="all"/>
      </w:r>
    </w:p>
    <w:sectPr w:rsidR="00C477D9" w:rsidRPr="00CF1DD7" w:rsidSect="00E920E4">
      <w:pgSz w:w="11906" w:h="16838"/>
      <w:pgMar w:top="567" w:right="1418"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DEA" w:rsidRDefault="00576DEA" w:rsidP="00C477D9">
      <w:pPr>
        <w:spacing w:after="0" w:line="240" w:lineRule="auto"/>
      </w:pPr>
      <w:r>
        <w:separator/>
      </w:r>
    </w:p>
  </w:endnote>
  <w:endnote w:type="continuationSeparator" w:id="0">
    <w:p w:rsidR="00576DEA" w:rsidRDefault="00576DEA" w:rsidP="00C4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DEA" w:rsidRDefault="00576DEA" w:rsidP="00C477D9">
      <w:pPr>
        <w:spacing w:after="0" w:line="240" w:lineRule="auto"/>
      </w:pPr>
      <w:r>
        <w:separator/>
      </w:r>
    </w:p>
  </w:footnote>
  <w:footnote w:type="continuationSeparator" w:id="0">
    <w:p w:rsidR="00576DEA" w:rsidRDefault="00576DEA" w:rsidP="00C47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1861"/>
    <w:multiLevelType w:val="hybridMultilevel"/>
    <w:tmpl w:val="07CEDE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FD0DD3"/>
    <w:multiLevelType w:val="hybridMultilevel"/>
    <w:tmpl w:val="2D0EF4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D96751"/>
    <w:multiLevelType w:val="hybridMultilevel"/>
    <w:tmpl w:val="C00041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6A6EB3"/>
    <w:multiLevelType w:val="hybridMultilevel"/>
    <w:tmpl w:val="694601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81483A"/>
    <w:multiLevelType w:val="hybridMultilevel"/>
    <w:tmpl w:val="DC7034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D036111"/>
    <w:multiLevelType w:val="hybridMultilevel"/>
    <w:tmpl w:val="4EF8E09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75AE5C68"/>
    <w:multiLevelType w:val="hybridMultilevel"/>
    <w:tmpl w:val="DD2690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AE"/>
    <w:rsid w:val="000E3A1D"/>
    <w:rsid w:val="00107C67"/>
    <w:rsid w:val="00112DC0"/>
    <w:rsid w:val="00137768"/>
    <w:rsid w:val="00191BAE"/>
    <w:rsid w:val="001B7C2D"/>
    <w:rsid w:val="001E0A12"/>
    <w:rsid w:val="00203930"/>
    <w:rsid w:val="002C6F99"/>
    <w:rsid w:val="00466AAA"/>
    <w:rsid w:val="00472851"/>
    <w:rsid w:val="004D008A"/>
    <w:rsid w:val="00546092"/>
    <w:rsid w:val="00576DEA"/>
    <w:rsid w:val="00583EB1"/>
    <w:rsid w:val="005A7168"/>
    <w:rsid w:val="007264E8"/>
    <w:rsid w:val="008740AE"/>
    <w:rsid w:val="00883A65"/>
    <w:rsid w:val="008C415F"/>
    <w:rsid w:val="0090549C"/>
    <w:rsid w:val="00917C5E"/>
    <w:rsid w:val="00993144"/>
    <w:rsid w:val="009E2FDF"/>
    <w:rsid w:val="00B662E4"/>
    <w:rsid w:val="00C40E75"/>
    <w:rsid w:val="00C477D9"/>
    <w:rsid w:val="00C85100"/>
    <w:rsid w:val="00CF1DD7"/>
    <w:rsid w:val="00D34A15"/>
    <w:rsid w:val="00E869C2"/>
    <w:rsid w:val="00E920E4"/>
    <w:rsid w:val="00EE78EB"/>
    <w:rsid w:val="00F00627"/>
    <w:rsid w:val="00FB38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DB3D"/>
  <w15:chartTrackingRefBased/>
  <w15:docId w15:val="{850D32B3-4690-43D3-BE4C-8DE0B816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20E4"/>
    <w:pPr>
      <w:ind w:left="720"/>
      <w:contextualSpacing/>
    </w:pPr>
  </w:style>
  <w:style w:type="paragraph" w:styleId="stBilgi">
    <w:name w:val="header"/>
    <w:basedOn w:val="Normal"/>
    <w:link w:val="stBilgiChar"/>
    <w:uiPriority w:val="99"/>
    <w:unhideWhenUsed/>
    <w:rsid w:val="00C477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77D9"/>
  </w:style>
  <w:style w:type="paragraph" w:styleId="AltBilgi">
    <w:name w:val="footer"/>
    <w:basedOn w:val="Normal"/>
    <w:link w:val="AltBilgiChar"/>
    <w:uiPriority w:val="99"/>
    <w:unhideWhenUsed/>
    <w:rsid w:val="00C477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77D9"/>
  </w:style>
  <w:style w:type="paragraph" w:styleId="AralkYok">
    <w:name w:val="No Spacing"/>
    <w:uiPriority w:val="1"/>
    <w:qFormat/>
    <w:rsid w:val="007264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L5</dc:creator>
  <cp:keywords/>
  <dc:description/>
  <cp:lastModifiedBy>Msy Elektronik</cp:lastModifiedBy>
  <cp:revision>5</cp:revision>
  <dcterms:created xsi:type="dcterms:W3CDTF">2025-01-13T12:39:00Z</dcterms:created>
  <dcterms:modified xsi:type="dcterms:W3CDTF">2025-01-13T13:44:00Z</dcterms:modified>
</cp:coreProperties>
</file>